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78EF3" w14:textId="2AD2172B" w:rsidR="00117169" w:rsidRPr="00123367" w:rsidRDefault="00117169" w:rsidP="00425205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19 </w:t>
      </w:r>
      <w:r w:rsidRPr="00123367">
        <w:rPr>
          <w:rFonts w:ascii="Calibri" w:hAnsi="Calibri"/>
        </w:rPr>
        <w:t>March 2015</w:t>
      </w:r>
    </w:p>
    <w:p w14:paraId="7C93B4A6" w14:textId="77777777" w:rsidR="006A364A" w:rsidRDefault="00117169" w:rsidP="00117169">
      <w:pPr>
        <w:spacing w:after="0"/>
        <w:jc w:val="center"/>
        <w:rPr>
          <w:rFonts w:ascii="Calibri" w:hAnsi="Calibri"/>
          <w:b/>
        </w:rPr>
      </w:pPr>
      <w:r w:rsidRPr="00123367">
        <w:rPr>
          <w:rFonts w:ascii="Calibri" w:hAnsi="Calibri"/>
          <w:b/>
        </w:rPr>
        <w:t xml:space="preserve">Haydale </w:t>
      </w:r>
      <w:proofErr w:type="spellStart"/>
      <w:r w:rsidRPr="00123367">
        <w:rPr>
          <w:rFonts w:ascii="Calibri" w:hAnsi="Calibri"/>
          <w:b/>
        </w:rPr>
        <w:t>Graphene</w:t>
      </w:r>
      <w:proofErr w:type="spellEnd"/>
      <w:r w:rsidRPr="00123367">
        <w:rPr>
          <w:rFonts w:ascii="Calibri" w:hAnsi="Calibri"/>
          <w:b/>
        </w:rPr>
        <w:t xml:space="preserve"> Industries plc </w:t>
      </w:r>
    </w:p>
    <w:p w14:paraId="4986433C" w14:textId="77777777" w:rsidR="00117169" w:rsidRPr="00123367" w:rsidRDefault="00117169" w:rsidP="00117169">
      <w:pPr>
        <w:spacing w:after="0"/>
        <w:jc w:val="center"/>
        <w:rPr>
          <w:rFonts w:ascii="Calibri" w:hAnsi="Calibri"/>
          <w:b/>
        </w:rPr>
      </w:pPr>
      <w:r w:rsidRPr="00123367">
        <w:rPr>
          <w:rFonts w:ascii="Calibri" w:hAnsi="Calibri"/>
          <w:b/>
        </w:rPr>
        <w:t>(</w:t>
      </w:r>
      <w:proofErr w:type="gramStart"/>
      <w:r w:rsidRPr="00123367">
        <w:rPr>
          <w:rFonts w:ascii="Calibri" w:hAnsi="Calibri"/>
          <w:b/>
        </w:rPr>
        <w:t>the</w:t>
      </w:r>
      <w:proofErr w:type="gramEnd"/>
      <w:r w:rsidRPr="0012336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“</w:t>
      </w:r>
      <w:r w:rsidRPr="00123367">
        <w:rPr>
          <w:rFonts w:ascii="Calibri" w:hAnsi="Calibri"/>
          <w:b/>
        </w:rPr>
        <w:t>Company</w:t>
      </w:r>
      <w:r>
        <w:rPr>
          <w:rFonts w:ascii="Calibri" w:hAnsi="Calibri"/>
          <w:b/>
        </w:rPr>
        <w:t>”</w:t>
      </w:r>
      <w:r w:rsidRPr="00123367">
        <w:rPr>
          <w:rFonts w:ascii="Calibri" w:hAnsi="Calibri"/>
          <w:b/>
        </w:rPr>
        <w:t>)</w:t>
      </w:r>
    </w:p>
    <w:p w14:paraId="3ECE233F" w14:textId="77777777" w:rsidR="00117169" w:rsidRPr="00123367" w:rsidRDefault="00117169" w:rsidP="00117169">
      <w:pPr>
        <w:spacing w:after="0"/>
        <w:jc w:val="center"/>
        <w:rPr>
          <w:rFonts w:ascii="Calibri" w:hAnsi="Calibri"/>
          <w:b/>
        </w:rPr>
      </w:pPr>
    </w:p>
    <w:p w14:paraId="052B088C" w14:textId="77777777" w:rsidR="00117169" w:rsidRPr="00123367" w:rsidRDefault="00117169" w:rsidP="00117169">
      <w:pPr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Grant of options</w:t>
      </w:r>
    </w:p>
    <w:p w14:paraId="5EF3A279" w14:textId="77777777" w:rsidR="00117169" w:rsidRPr="00123367" w:rsidRDefault="00117169" w:rsidP="00117169">
      <w:pPr>
        <w:spacing w:after="0"/>
        <w:jc w:val="both"/>
        <w:rPr>
          <w:rFonts w:ascii="Calibri" w:hAnsi="Calibri"/>
          <w:b/>
        </w:rPr>
      </w:pPr>
    </w:p>
    <w:p w14:paraId="43ACDDF7" w14:textId="77777777" w:rsidR="00F53FBA" w:rsidRDefault="00117169" w:rsidP="00117169">
      <w:pPr>
        <w:spacing w:after="0" w:line="240" w:lineRule="auto"/>
        <w:jc w:val="both"/>
        <w:rPr>
          <w:rFonts w:ascii="Calibri" w:hAnsi="Calibri"/>
        </w:rPr>
      </w:pPr>
      <w:r w:rsidRPr="00123367">
        <w:rPr>
          <w:rFonts w:ascii="Calibri" w:hAnsi="Calibri"/>
        </w:rPr>
        <w:t xml:space="preserve">Haydale (AIM: HAYD), the </w:t>
      </w:r>
      <w:r>
        <w:rPr>
          <w:rFonts w:ascii="Calibri" w:hAnsi="Calibri"/>
        </w:rPr>
        <w:t>Group</w:t>
      </w:r>
      <w:r w:rsidRPr="00123367">
        <w:rPr>
          <w:rFonts w:ascii="Calibri" w:hAnsi="Calibri"/>
        </w:rPr>
        <w:t xml:space="preserve"> focused on the commercialisation of </w:t>
      </w:r>
      <w:proofErr w:type="spellStart"/>
      <w:r w:rsidRPr="00123367">
        <w:rPr>
          <w:rFonts w:ascii="Calibri" w:hAnsi="Calibri"/>
        </w:rPr>
        <w:t>graphene</w:t>
      </w:r>
      <w:proofErr w:type="spellEnd"/>
      <w:r w:rsidRPr="00123367">
        <w:rPr>
          <w:rFonts w:ascii="Calibri" w:hAnsi="Calibri"/>
        </w:rPr>
        <w:t xml:space="preserve"> and other </w:t>
      </w:r>
      <w:proofErr w:type="spellStart"/>
      <w:r w:rsidRPr="00123367">
        <w:rPr>
          <w:rFonts w:ascii="Calibri" w:hAnsi="Calibri"/>
        </w:rPr>
        <w:t>nano</w:t>
      </w:r>
      <w:proofErr w:type="spellEnd"/>
      <w:r w:rsidRPr="00123367">
        <w:rPr>
          <w:rFonts w:ascii="Calibri" w:hAnsi="Calibri"/>
        </w:rPr>
        <w:t xml:space="preserve"> particle products using </w:t>
      </w:r>
      <w:r>
        <w:rPr>
          <w:rFonts w:ascii="Calibri" w:hAnsi="Calibri"/>
        </w:rPr>
        <w:t>their</w:t>
      </w:r>
      <w:r w:rsidRPr="00123367">
        <w:rPr>
          <w:rFonts w:ascii="Calibri" w:hAnsi="Calibri"/>
        </w:rPr>
        <w:t xml:space="preserve"> proprietary plasma process announces</w:t>
      </w:r>
      <w:r>
        <w:rPr>
          <w:rFonts w:ascii="Calibri" w:hAnsi="Calibri"/>
        </w:rPr>
        <w:t xml:space="preserve"> </w:t>
      </w:r>
      <w:r w:rsidRPr="00117169">
        <w:rPr>
          <w:rFonts w:ascii="Calibri" w:hAnsi="Calibri"/>
        </w:rPr>
        <w:t>that on 18 March 2015, the Board of the Company awarded options</w:t>
      </w:r>
      <w:r>
        <w:rPr>
          <w:rFonts w:ascii="Calibri" w:hAnsi="Calibri"/>
        </w:rPr>
        <w:t xml:space="preserve"> </w:t>
      </w:r>
      <w:r w:rsidR="00152245">
        <w:rPr>
          <w:rFonts w:ascii="Calibri" w:hAnsi="Calibri"/>
        </w:rPr>
        <w:t xml:space="preserve">(“Options”) </w:t>
      </w:r>
      <w:r>
        <w:rPr>
          <w:rFonts w:ascii="Calibri" w:hAnsi="Calibri"/>
        </w:rPr>
        <w:t xml:space="preserve">over an aggregate of </w:t>
      </w:r>
      <w:r w:rsidR="007932B4">
        <w:rPr>
          <w:rFonts w:ascii="Calibri" w:hAnsi="Calibri"/>
        </w:rPr>
        <w:t>81,032</w:t>
      </w:r>
      <w:r>
        <w:rPr>
          <w:rFonts w:ascii="Calibri" w:hAnsi="Calibri"/>
        </w:rPr>
        <w:t xml:space="preserve"> ordinary shares </w:t>
      </w:r>
      <w:r w:rsidR="00F53FBA">
        <w:rPr>
          <w:rFonts w:ascii="Calibri" w:hAnsi="Calibri"/>
        </w:rPr>
        <w:t>of 2p each in the capital of the Company (“Ordinary Shares”)</w:t>
      </w:r>
      <w:r w:rsidRPr="00117169">
        <w:rPr>
          <w:rFonts w:ascii="Calibri" w:hAnsi="Calibri"/>
        </w:rPr>
        <w:t xml:space="preserve"> pursuant to the Company's </w:t>
      </w:r>
      <w:r>
        <w:rPr>
          <w:rFonts w:ascii="Calibri" w:hAnsi="Calibri"/>
        </w:rPr>
        <w:t xml:space="preserve">approved and </w:t>
      </w:r>
      <w:r w:rsidRPr="00117169">
        <w:rPr>
          <w:rFonts w:ascii="Calibri" w:hAnsi="Calibri"/>
        </w:rPr>
        <w:t>unapproved share option scheme</w:t>
      </w:r>
      <w:r>
        <w:rPr>
          <w:rFonts w:ascii="Calibri" w:hAnsi="Calibri"/>
        </w:rPr>
        <w:t>s</w:t>
      </w:r>
      <w:r w:rsidRPr="00117169">
        <w:rPr>
          <w:rFonts w:ascii="Calibri" w:hAnsi="Calibri"/>
        </w:rPr>
        <w:t xml:space="preserve"> adopted by the Board on </w:t>
      </w:r>
      <w:r>
        <w:rPr>
          <w:rFonts w:ascii="Calibri" w:hAnsi="Calibri"/>
        </w:rPr>
        <w:t xml:space="preserve">4 April </w:t>
      </w:r>
      <w:r w:rsidRPr="00117169">
        <w:rPr>
          <w:rFonts w:ascii="Calibri" w:hAnsi="Calibri"/>
        </w:rPr>
        <w:t>20</w:t>
      </w:r>
      <w:r>
        <w:rPr>
          <w:rFonts w:ascii="Calibri" w:hAnsi="Calibri"/>
        </w:rPr>
        <w:t>14.</w:t>
      </w:r>
      <w:r w:rsidR="00F53FBA">
        <w:rPr>
          <w:rFonts w:ascii="Calibri" w:hAnsi="Calibri"/>
        </w:rPr>
        <w:t xml:space="preserve">  </w:t>
      </w:r>
    </w:p>
    <w:p w14:paraId="59CC16AF" w14:textId="77777777" w:rsidR="00F53FBA" w:rsidRDefault="00F53FBA" w:rsidP="00117169">
      <w:pPr>
        <w:spacing w:after="0" w:line="240" w:lineRule="auto"/>
        <w:jc w:val="both"/>
        <w:rPr>
          <w:rFonts w:ascii="Calibri" w:hAnsi="Calibri"/>
        </w:rPr>
      </w:pPr>
    </w:p>
    <w:p w14:paraId="058F1C22" w14:textId="77777777" w:rsidR="00F53FBA" w:rsidRPr="00F53FBA" w:rsidRDefault="00F53FBA" w:rsidP="00117169">
      <w:p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</w:rPr>
        <w:t xml:space="preserve">All of the </w:t>
      </w:r>
      <w:r w:rsidR="00152245">
        <w:rPr>
          <w:rFonts w:ascii="Calibri" w:hAnsi="Calibri"/>
        </w:rPr>
        <w:t>O</w:t>
      </w:r>
      <w:r>
        <w:rPr>
          <w:rFonts w:ascii="Calibri" w:hAnsi="Calibri"/>
        </w:rPr>
        <w:t xml:space="preserve">ptions granted have an exercise price of </w:t>
      </w:r>
      <w:r w:rsidR="007932B4">
        <w:rPr>
          <w:rFonts w:ascii="Calibri" w:hAnsi="Calibri"/>
        </w:rPr>
        <w:t>134.5</w:t>
      </w:r>
      <w:r>
        <w:rPr>
          <w:rFonts w:ascii="Calibri" w:hAnsi="Calibri"/>
        </w:rPr>
        <w:t xml:space="preserve">p per Ordinary Share </w:t>
      </w:r>
      <w:r w:rsidRPr="00117169">
        <w:rPr>
          <w:rFonts w:ascii="Calibri" w:hAnsi="Calibri"/>
        </w:rPr>
        <w:t>(being the closing mid-market price of the Company</w:t>
      </w:r>
      <w:r>
        <w:rPr>
          <w:rFonts w:ascii="Calibri" w:hAnsi="Calibri"/>
        </w:rPr>
        <w:t>'s Ordinary Shares on 1</w:t>
      </w:r>
      <w:r w:rsidR="007932B4">
        <w:rPr>
          <w:rFonts w:ascii="Calibri" w:hAnsi="Calibri"/>
        </w:rPr>
        <w:t>7</w:t>
      </w:r>
      <w:r>
        <w:rPr>
          <w:rFonts w:ascii="Calibri" w:hAnsi="Calibri"/>
        </w:rPr>
        <w:t xml:space="preserve"> March</w:t>
      </w:r>
      <w:r w:rsidRPr="00117169">
        <w:rPr>
          <w:rFonts w:ascii="Calibri" w:hAnsi="Calibri"/>
        </w:rPr>
        <w:t xml:space="preserve"> 2015</w:t>
      </w:r>
      <w:r w:rsidR="00243310">
        <w:rPr>
          <w:rFonts w:ascii="Calibri" w:hAnsi="Calibri"/>
        </w:rPr>
        <w:t>, the day before the grant</w:t>
      </w:r>
      <w:r w:rsidRPr="00117169">
        <w:rPr>
          <w:rFonts w:ascii="Calibri" w:hAnsi="Calibri"/>
        </w:rPr>
        <w:t xml:space="preserve">) with the latest exercise date being </w:t>
      </w:r>
      <w:r>
        <w:rPr>
          <w:rFonts w:ascii="Calibri" w:hAnsi="Calibri"/>
        </w:rPr>
        <w:t>18</w:t>
      </w:r>
      <w:r w:rsidRPr="00117169">
        <w:rPr>
          <w:rFonts w:ascii="Calibri" w:hAnsi="Calibri"/>
        </w:rPr>
        <w:t xml:space="preserve"> </w:t>
      </w:r>
      <w:r>
        <w:rPr>
          <w:rFonts w:ascii="Calibri" w:hAnsi="Calibri"/>
        </w:rPr>
        <w:t>March</w:t>
      </w:r>
      <w:r w:rsidRPr="00117169">
        <w:rPr>
          <w:rFonts w:ascii="Calibri" w:hAnsi="Calibri"/>
        </w:rPr>
        <w:t xml:space="preserve"> 202</w:t>
      </w:r>
      <w:r w:rsidR="00152245">
        <w:rPr>
          <w:rFonts w:ascii="Calibri" w:hAnsi="Calibri"/>
        </w:rPr>
        <w:t>5</w:t>
      </w:r>
      <w:r w:rsidRPr="00117169">
        <w:rPr>
          <w:rFonts w:ascii="Calibri" w:hAnsi="Calibri"/>
        </w:rPr>
        <w:t>.</w:t>
      </w:r>
      <w:r>
        <w:rPr>
          <w:rFonts w:ascii="Calibri" w:hAnsi="Calibri"/>
        </w:rPr>
        <w:t xml:space="preserve">  Following the grant of these </w:t>
      </w:r>
      <w:r w:rsidR="00152245">
        <w:rPr>
          <w:rFonts w:ascii="Calibri" w:hAnsi="Calibri"/>
        </w:rPr>
        <w:t>O</w:t>
      </w:r>
      <w:r>
        <w:rPr>
          <w:rFonts w:ascii="Calibri" w:hAnsi="Calibri"/>
        </w:rPr>
        <w:t xml:space="preserve">ptions, the Company’s total number of options outstanding as at the date of this announcement is </w:t>
      </w:r>
      <w:r w:rsidR="00243310">
        <w:rPr>
          <w:rFonts w:ascii="Calibri" w:hAnsi="Calibri"/>
        </w:rPr>
        <w:t>889,126</w:t>
      </w:r>
      <w:r>
        <w:rPr>
          <w:rFonts w:ascii="Calibri" w:hAnsi="Calibri"/>
          <w:sz w:val="24"/>
        </w:rPr>
        <w:t>.</w:t>
      </w:r>
    </w:p>
    <w:p w14:paraId="5E36EEAF" w14:textId="77777777" w:rsidR="00117169" w:rsidRDefault="00117169" w:rsidP="00117169">
      <w:pPr>
        <w:spacing w:after="0" w:line="240" w:lineRule="auto"/>
        <w:jc w:val="both"/>
        <w:rPr>
          <w:rFonts w:ascii="Calibri" w:hAnsi="Calibri"/>
        </w:rPr>
      </w:pPr>
    </w:p>
    <w:p w14:paraId="7C6FA176" w14:textId="77777777" w:rsidR="00F53FBA" w:rsidRDefault="00F53FBA" w:rsidP="0011716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Of the </w:t>
      </w:r>
      <w:r w:rsidR="00152245">
        <w:rPr>
          <w:rFonts w:ascii="Calibri" w:hAnsi="Calibri"/>
        </w:rPr>
        <w:t>O</w:t>
      </w:r>
      <w:r>
        <w:rPr>
          <w:rFonts w:ascii="Calibri" w:hAnsi="Calibri"/>
        </w:rPr>
        <w:t xml:space="preserve">ptions granted, </w:t>
      </w:r>
      <w:r w:rsidR="007932B4">
        <w:rPr>
          <w:rFonts w:ascii="Calibri" w:hAnsi="Calibri"/>
        </w:rPr>
        <w:t>33,307</w:t>
      </w:r>
      <w:r>
        <w:rPr>
          <w:rFonts w:ascii="Calibri" w:hAnsi="Calibri"/>
        </w:rPr>
        <w:t xml:space="preserve"> were granted</w:t>
      </w:r>
      <w:r w:rsidR="00117169">
        <w:rPr>
          <w:rFonts w:ascii="Calibri" w:hAnsi="Calibri"/>
        </w:rPr>
        <w:t xml:space="preserve"> to the Company’s executive directors</w:t>
      </w:r>
      <w:r>
        <w:rPr>
          <w:rFonts w:ascii="Calibri" w:hAnsi="Calibri"/>
        </w:rPr>
        <w:t xml:space="preserve"> </w:t>
      </w:r>
      <w:r w:rsidR="006A364A" w:rsidRPr="00117169">
        <w:rPr>
          <w:rFonts w:ascii="Calibri" w:hAnsi="Calibri"/>
        </w:rPr>
        <w:t xml:space="preserve">following the agreement of the terms of the </w:t>
      </w:r>
      <w:r w:rsidR="00152245">
        <w:rPr>
          <w:rFonts w:ascii="Calibri" w:hAnsi="Calibri"/>
        </w:rPr>
        <w:t>O</w:t>
      </w:r>
      <w:r w:rsidR="006A364A" w:rsidRPr="00117169">
        <w:rPr>
          <w:rFonts w:ascii="Calibri" w:hAnsi="Calibri"/>
        </w:rPr>
        <w:t>ptions by the remuneration committee of the Board</w:t>
      </w:r>
      <w:r w:rsidR="006A364A">
        <w:rPr>
          <w:rFonts w:ascii="Calibri" w:hAnsi="Calibri"/>
        </w:rPr>
        <w:t xml:space="preserve"> </w:t>
      </w:r>
      <w:r>
        <w:rPr>
          <w:rFonts w:ascii="Calibri" w:hAnsi="Calibri"/>
        </w:rPr>
        <w:t>as follows:</w:t>
      </w:r>
    </w:p>
    <w:p w14:paraId="61922FAA" w14:textId="77777777" w:rsidR="00F53FBA" w:rsidRDefault="00F53FBA" w:rsidP="00117169">
      <w:pPr>
        <w:spacing w:after="0" w:line="240" w:lineRule="auto"/>
        <w:jc w:val="both"/>
        <w:rPr>
          <w:rFonts w:ascii="Calibri" w:hAnsi="Calibri"/>
        </w:rPr>
      </w:pPr>
    </w:p>
    <w:tbl>
      <w:tblPr>
        <w:tblStyle w:val="TableGrid"/>
        <w:tblW w:w="9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275"/>
        <w:gridCol w:w="1479"/>
        <w:gridCol w:w="1479"/>
      </w:tblGrid>
      <w:tr w:rsidR="00152245" w14:paraId="6F8C8558" w14:textId="77777777" w:rsidTr="00631754"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14:paraId="403B7A14" w14:textId="77777777" w:rsidR="00152245" w:rsidRDefault="00152245" w:rsidP="006317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4C72BA1" w14:textId="77777777" w:rsidR="00152245" w:rsidRDefault="00152245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 approved options granted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7E19B94" w14:textId="77777777" w:rsidR="00152245" w:rsidRDefault="00152245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Number of unapproved options granted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151A3950" w14:textId="77777777" w:rsidR="00152245" w:rsidRDefault="00152245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number of options held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14:paraId="2A155C8C" w14:textId="77777777" w:rsidR="00152245" w:rsidRDefault="00152245" w:rsidP="001E5D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 beneficial holding of Ordinary Shares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14:paraId="108C4054" w14:textId="77777777" w:rsidR="00152245" w:rsidRDefault="00461B3B" w:rsidP="00461B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Shareholding %</w:t>
            </w:r>
          </w:p>
        </w:tc>
      </w:tr>
      <w:tr w:rsidR="00152245" w14:paraId="64E1D760" w14:textId="77777777" w:rsidTr="00631754">
        <w:tc>
          <w:tcPr>
            <w:tcW w:w="2235" w:type="dxa"/>
            <w:tcBorders>
              <w:top w:val="single" w:sz="4" w:space="0" w:color="auto"/>
            </w:tcBorders>
          </w:tcPr>
          <w:p w14:paraId="7CE46EF6" w14:textId="77777777" w:rsidR="00152245" w:rsidRDefault="00152245" w:rsidP="0011716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Ray Gibbs (CEO)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281C615" w14:textId="77777777" w:rsidR="00152245" w:rsidRDefault="007932B4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98F111" w14:textId="77777777" w:rsidR="00152245" w:rsidRDefault="007932B4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14,275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164E00F" w14:textId="77777777" w:rsidR="00152245" w:rsidRDefault="007932B4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228,973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5F472D9" w14:textId="77777777" w:rsidR="00152245" w:rsidRDefault="00152245" w:rsidP="001E5D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443,054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DE6A8AE" w14:textId="77777777" w:rsidR="00152245" w:rsidRDefault="00461B3B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3.87</w:t>
            </w:r>
          </w:p>
        </w:tc>
      </w:tr>
      <w:tr w:rsidR="00152245" w14:paraId="5A58CCEC" w14:textId="77777777" w:rsidTr="00631754">
        <w:tc>
          <w:tcPr>
            <w:tcW w:w="2235" w:type="dxa"/>
          </w:tcPr>
          <w:p w14:paraId="4710789C" w14:textId="77777777" w:rsidR="00152245" w:rsidRDefault="00152245" w:rsidP="0011716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Chris Spacie (CTO)</w:t>
            </w:r>
          </w:p>
        </w:tc>
        <w:tc>
          <w:tcPr>
            <w:tcW w:w="1417" w:type="dxa"/>
          </w:tcPr>
          <w:p w14:paraId="5DEFC060" w14:textId="77777777" w:rsidR="00152245" w:rsidRDefault="007932B4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11,895</w:t>
            </w:r>
          </w:p>
        </w:tc>
        <w:tc>
          <w:tcPr>
            <w:tcW w:w="1418" w:type="dxa"/>
          </w:tcPr>
          <w:p w14:paraId="51B41C8F" w14:textId="77777777" w:rsidR="00152245" w:rsidRDefault="007932B4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275" w:type="dxa"/>
          </w:tcPr>
          <w:p w14:paraId="05B87331" w14:textId="77777777" w:rsidR="00152245" w:rsidRDefault="007932B4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156,318</w:t>
            </w:r>
          </w:p>
        </w:tc>
        <w:tc>
          <w:tcPr>
            <w:tcW w:w="1479" w:type="dxa"/>
          </w:tcPr>
          <w:p w14:paraId="1027DF18" w14:textId="77777777" w:rsidR="00152245" w:rsidRDefault="00152245" w:rsidP="001E5D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35,463</w:t>
            </w:r>
          </w:p>
        </w:tc>
        <w:tc>
          <w:tcPr>
            <w:tcW w:w="1479" w:type="dxa"/>
          </w:tcPr>
          <w:p w14:paraId="64A64959" w14:textId="77777777" w:rsidR="00152245" w:rsidRDefault="00461B3B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0.31</w:t>
            </w:r>
          </w:p>
        </w:tc>
      </w:tr>
      <w:tr w:rsidR="00152245" w14:paraId="3788BEA4" w14:textId="77777777" w:rsidTr="00631754">
        <w:tc>
          <w:tcPr>
            <w:tcW w:w="2235" w:type="dxa"/>
          </w:tcPr>
          <w:p w14:paraId="1BBA61AA" w14:textId="77777777" w:rsidR="00152245" w:rsidRDefault="00152245" w:rsidP="0011716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Matt Wood (FD)</w:t>
            </w:r>
          </w:p>
        </w:tc>
        <w:tc>
          <w:tcPr>
            <w:tcW w:w="1417" w:type="dxa"/>
          </w:tcPr>
          <w:p w14:paraId="584167C2" w14:textId="77777777" w:rsidR="00152245" w:rsidRDefault="007932B4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1418" w:type="dxa"/>
          </w:tcPr>
          <w:p w14:paraId="603675BC" w14:textId="77777777" w:rsidR="00152245" w:rsidRDefault="007932B4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7,137</w:t>
            </w:r>
          </w:p>
        </w:tc>
        <w:tc>
          <w:tcPr>
            <w:tcW w:w="1275" w:type="dxa"/>
          </w:tcPr>
          <w:p w14:paraId="244F9B98" w14:textId="77777777" w:rsidR="00152245" w:rsidRDefault="007932B4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56,274</w:t>
            </w:r>
          </w:p>
        </w:tc>
        <w:tc>
          <w:tcPr>
            <w:tcW w:w="1479" w:type="dxa"/>
          </w:tcPr>
          <w:p w14:paraId="1D10D815" w14:textId="77777777" w:rsidR="00152245" w:rsidRDefault="00461B3B" w:rsidP="001E5D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3,571</w:t>
            </w:r>
          </w:p>
        </w:tc>
        <w:tc>
          <w:tcPr>
            <w:tcW w:w="1479" w:type="dxa"/>
          </w:tcPr>
          <w:p w14:paraId="2A3E6A82" w14:textId="77777777" w:rsidR="00152245" w:rsidRDefault="00461B3B" w:rsidP="0015224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0.03</w:t>
            </w:r>
          </w:p>
        </w:tc>
      </w:tr>
    </w:tbl>
    <w:p w14:paraId="14066303" w14:textId="77777777" w:rsidR="00F53FBA" w:rsidRDefault="00F53FBA" w:rsidP="00117169">
      <w:pPr>
        <w:spacing w:after="0" w:line="240" w:lineRule="auto"/>
        <w:jc w:val="both"/>
        <w:rPr>
          <w:rFonts w:ascii="Calibri" w:hAnsi="Calibri"/>
        </w:rPr>
      </w:pPr>
    </w:p>
    <w:p w14:paraId="54111DDD" w14:textId="19723A38" w:rsidR="006A364A" w:rsidRDefault="00F51703" w:rsidP="00117169">
      <w:pPr>
        <w:spacing w:after="0" w:line="240" w:lineRule="auto"/>
        <w:jc w:val="both"/>
        <w:rPr>
          <w:rFonts w:ascii="Calibri" w:hAnsi="Calibri"/>
          <w:lang w:val="en"/>
        </w:rPr>
      </w:pPr>
      <w:r>
        <w:rPr>
          <w:rFonts w:ascii="Calibri" w:hAnsi="Calibri"/>
        </w:rPr>
        <w:t xml:space="preserve">The number of ordinary shares currently in issue is </w:t>
      </w:r>
      <w:r w:rsidRPr="00F51703">
        <w:rPr>
          <w:rFonts w:ascii="Calibri" w:hAnsi="Calibri"/>
          <w:lang w:val="en"/>
        </w:rPr>
        <w:t>11,446,446</w:t>
      </w:r>
      <w:r>
        <w:rPr>
          <w:rFonts w:ascii="Calibri" w:hAnsi="Calibri"/>
          <w:lang w:val="en"/>
        </w:rPr>
        <w:t xml:space="preserve"> and it is this number that has been used to calculate the above shareholdings.</w:t>
      </w:r>
    </w:p>
    <w:p w14:paraId="2FB394D5" w14:textId="77777777" w:rsidR="00F51703" w:rsidRDefault="00F51703" w:rsidP="00117169">
      <w:pPr>
        <w:spacing w:after="0" w:line="240" w:lineRule="auto"/>
        <w:jc w:val="both"/>
        <w:rPr>
          <w:rFonts w:ascii="Calibri" w:hAnsi="Calibri"/>
        </w:rPr>
      </w:pPr>
    </w:p>
    <w:p w14:paraId="17617849" w14:textId="77777777" w:rsidR="006A364A" w:rsidRDefault="006A364A" w:rsidP="0011716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For further information, please contact:</w:t>
      </w:r>
    </w:p>
    <w:p w14:paraId="1150583F" w14:textId="77777777" w:rsidR="006A364A" w:rsidRDefault="006A364A" w:rsidP="00117169">
      <w:pPr>
        <w:spacing w:after="0" w:line="240" w:lineRule="auto"/>
        <w:jc w:val="both"/>
        <w:rPr>
          <w:rFonts w:ascii="Calibri" w:hAnsi="Calibri"/>
        </w:rPr>
      </w:pPr>
    </w:p>
    <w:tbl>
      <w:tblPr>
        <w:tblW w:w="5000" w:type="pct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6"/>
        <w:gridCol w:w="3480"/>
      </w:tblGrid>
      <w:tr w:rsidR="006A364A" w:rsidRPr="00123367" w14:paraId="1E2CBC07" w14:textId="77777777" w:rsidTr="006A364A">
        <w:trPr>
          <w:trHeight w:val="287"/>
        </w:trPr>
        <w:tc>
          <w:tcPr>
            <w:tcW w:w="5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268D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 w:rsidRPr="00123367">
              <w:rPr>
                <w:rFonts w:ascii="Calibri" w:hAnsi="Calibri"/>
                <w:b/>
              </w:rPr>
              <w:t xml:space="preserve">Haydale </w:t>
            </w:r>
            <w:proofErr w:type="spellStart"/>
            <w:r w:rsidRPr="00123367">
              <w:rPr>
                <w:rFonts w:ascii="Calibri" w:hAnsi="Calibri"/>
                <w:b/>
              </w:rPr>
              <w:t>Graphene</w:t>
            </w:r>
            <w:proofErr w:type="spellEnd"/>
            <w:r w:rsidRPr="00123367">
              <w:rPr>
                <w:rFonts w:ascii="Calibri" w:hAnsi="Calibri"/>
                <w:b/>
              </w:rPr>
              <w:t xml:space="preserve"> Industries plc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DBDE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+44 (0) </w:t>
            </w:r>
            <w:r w:rsidRPr="00123367">
              <w:rPr>
                <w:rFonts w:ascii="Calibri" w:hAnsi="Calibri"/>
              </w:rPr>
              <w:t>1269 842 946</w:t>
            </w:r>
          </w:p>
        </w:tc>
      </w:tr>
      <w:tr w:rsidR="006A364A" w:rsidRPr="00123367" w14:paraId="219AD152" w14:textId="77777777" w:rsidTr="006A364A">
        <w:tc>
          <w:tcPr>
            <w:tcW w:w="5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0CFE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 w:rsidRPr="00123367">
              <w:rPr>
                <w:rFonts w:ascii="Calibri" w:hAnsi="Calibri"/>
              </w:rPr>
              <w:t>John Knowles, Chairman</w:t>
            </w:r>
          </w:p>
          <w:p w14:paraId="759D4BCE" w14:textId="77777777" w:rsidR="006A364A" w:rsidRDefault="006A364A" w:rsidP="006A364A">
            <w:pPr>
              <w:spacing w:after="0"/>
              <w:rPr>
                <w:rFonts w:ascii="Calibri" w:hAnsi="Calibri"/>
              </w:rPr>
            </w:pPr>
            <w:r w:rsidRPr="00123367">
              <w:rPr>
                <w:rFonts w:ascii="Calibri" w:hAnsi="Calibri"/>
              </w:rPr>
              <w:t xml:space="preserve">Ray Gibbs, Chief Executive Officer </w:t>
            </w:r>
          </w:p>
          <w:p w14:paraId="2E720E61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727B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</w:p>
        </w:tc>
      </w:tr>
      <w:tr w:rsidR="006A364A" w:rsidRPr="00123367" w14:paraId="11A22B8F" w14:textId="77777777" w:rsidTr="006A364A">
        <w:tc>
          <w:tcPr>
            <w:tcW w:w="5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FB33" w14:textId="77777777" w:rsidR="006A364A" w:rsidRPr="00123367" w:rsidRDefault="006A364A" w:rsidP="006A364A">
            <w:pPr>
              <w:spacing w:after="0"/>
              <w:rPr>
                <w:rFonts w:ascii="Calibri" w:hAnsi="Calibri"/>
                <w:b/>
              </w:rPr>
            </w:pPr>
            <w:r w:rsidRPr="00123367">
              <w:rPr>
                <w:rFonts w:ascii="Calibri" w:hAnsi="Calibri"/>
                <w:b/>
              </w:rPr>
              <w:t>Cairn Financial Advisers LLP (Nomad)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A726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+44 (0) </w:t>
            </w:r>
            <w:r w:rsidRPr="00123367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 xml:space="preserve"> </w:t>
            </w:r>
            <w:r w:rsidRPr="00123367">
              <w:rPr>
                <w:rFonts w:ascii="Calibri" w:hAnsi="Calibri"/>
              </w:rPr>
              <w:t>7148 7900</w:t>
            </w:r>
          </w:p>
        </w:tc>
      </w:tr>
      <w:tr w:rsidR="006A364A" w:rsidRPr="00123367" w14:paraId="13E2CBCC" w14:textId="77777777" w:rsidTr="006A364A">
        <w:tc>
          <w:tcPr>
            <w:tcW w:w="5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BCC2" w14:textId="77777777" w:rsidR="006A364A" w:rsidRDefault="006A364A" w:rsidP="006A364A">
            <w:pPr>
              <w:spacing w:after="0"/>
              <w:rPr>
                <w:rFonts w:ascii="Calibri" w:hAnsi="Calibri"/>
              </w:rPr>
            </w:pPr>
            <w:r w:rsidRPr="00123367">
              <w:rPr>
                <w:rFonts w:ascii="Calibri" w:hAnsi="Calibri"/>
              </w:rPr>
              <w:t>Tony Rawlinson</w:t>
            </w:r>
          </w:p>
          <w:p w14:paraId="2DEF0D9C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D6D0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</w:p>
        </w:tc>
      </w:tr>
      <w:tr w:rsidR="006A364A" w:rsidRPr="00123367" w14:paraId="358B9B66" w14:textId="77777777" w:rsidTr="006A364A">
        <w:tc>
          <w:tcPr>
            <w:tcW w:w="5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099A" w14:textId="77777777" w:rsidR="006A364A" w:rsidRPr="00123367" w:rsidRDefault="006A364A" w:rsidP="006A364A">
            <w:pPr>
              <w:spacing w:after="0"/>
              <w:rPr>
                <w:rFonts w:ascii="Calibri" w:hAnsi="Calibri"/>
                <w:b/>
              </w:rPr>
            </w:pPr>
            <w:r w:rsidRPr="00123367">
              <w:rPr>
                <w:rFonts w:ascii="Calibri" w:hAnsi="Calibri"/>
                <w:b/>
              </w:rPr>
              <w:t>Cantor Fitzgerald Europe (Broker)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577F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+44 (0) </w:t>
            </w:r>
            <w:r w:rsidRPr="00123367">
              <w:rPr>
                <w:rFonts w:ascii="Calibri" w:hAnsi="Calibri"/>
              </w:rPr>
              <w:t>20 7894 7000</w:t>
            </w:r>
          </w:p>
        </w:tc>
      </w:tr>
      <w:tr w:rsidR="006A364A" w:rsidRPr="00123367" w14:paraId="1D605C78" w14:textId="77777777" w:rsidTr="006A364A">
        <w:tc>
          <w:tcPr>
            <w:tcW w:w="5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5FFC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 w:rsidRPr="00123367">
              <w:rPr>
                <w:rFonts w:ascii="Calibri" w:hAnsi="Calibri"/>
              </w:rPr>
              <w:t xml:space="preserve">David Foreman </w:t>
            </w:r>
          </w:p>
          <w:p w14:paraId="5FD02EC5" w14:textId="77777777" w:rsidR="006A364A" w:rsidRDefault="006A364A" w:rsidP="006A364A">
            <w:pPr>
              <w:spacing w:after="0"/>
              <w:rPr>
                <w:rFonts w:ascii="Calibri" w:hAnsi="Calibri"/>
              </w:rPr>
            </w:pPr>
            <w:r w:rsidRPr="00123367">
              <w:rPr>
                <w:rFonts w:ascii="Calibri" w:hAnsi="Calibri"/>
              </w:rPr>
              <w:t>David Banks</w:t>
            </w:r>
          </w:p>
          <w:p w14:paraId="509F2ECE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37C9E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</w:p>
        </w:tc>
      </w:tr>
      <w:tr w:rsidR="006A364A" w:rsidRPr="00123367" w14:paraId="2875BF92" w14:textId="77777777" w:rsidTr="006A364A">
        <w:tc>
          <w:tcPr>
            <w:tcW w:w="5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81B5F" w14:textId="77777777" w:rsidR="006A364A" w:rsidRPr="00123367" w:rsidRDefault="006A364A" w:rsidP="006A364A">
            <w:pPr>
              <w:spacing w:after="0"/>
              <w:rPr>
                <w:rFonts w:ascii="Calibri" w:hAnsi="Calibri"/>
                <w:b/>
              </w:rPr>
            </w:pPr>
            <w:r w:rsidRPr="00123367">
              <w:rPr>
                <w:rFonts w:ascii="Calibri" w:hAnsi="Calibri"/>
                <w:b/>
              </w:rPr>
              <w:t xml:space="preserve">Hermes Financial PR 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D2B1" w14:textId="77777777" w:rsidR="006A364A" w:rsidRPr="00123367" w:rsidRDefault="006A364A" w:rsidP="006A364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6A364A" w:rsidRPr="00123367" w14:paraId="65F3A793" w14:textId="77777777" w:rsidTr="006A364A">
        <w:tc>
          <w:tcPr>
            <w:tcW w:w="5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13C3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 w:rsidRPr="00123367">
              <w:rPr>
                <w:rFonts w:ascii="Calibri" w:hAnsi="Calibri"/>
              </w:rPr>
              <w:t>Trevor Philli</w:t>
            </w:r>
            <w:bookmarkStart w:id="0" w:name="_GoBack"/>
            <w:bookmarkEnd w:id="0"/>
            <w:r w:rsidRPr="00123367">
              <w:rPr>
                <w:rFonts w:ascii="Calibri" w:hAnsi="Calibri"/>
              </w:rPr>
              <w:t xml:space="preserve">ps </w:t>
            </w:r>
          </w:p>
          <w:p w14:paraId="505A03DE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 w:rsidRPr="00123367">
              <w:rPr>
                <w:rFonts w:ascii="Calibri" w:hAnsi="Calibri"/>
              </w:rPr>
              <w:t xml:space="preserve">Chris Steele </w:t>
            </w:r>
          </w:p>
        </w:tc>
        <w:tc>
          <w:tcPr>
            <w:tcW w:w="34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3484C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+44 (0) </w:t>
            </w:r>
            <w:r w:rsidRPr="00123367">
              <w:rPr>
                <w:rFonts w:ascii="Calibri" w:hAnsi="Calibri"/>
              </w:rPr>
              <w:t>7889 153 628</w:t>
            </w:r>
          </w:p>
          <w:p w14:paraId="1E094DA0" w14:textId="77777777" w:rsidR="006A364A" w:rsidRPr="00123367" w:rsidRDefault="006A364A" w:rsidP="006A364A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+44 (0) </w:t>
            </w:r>
            <w:r w:rsidRPr="00123367">
              <w:rPr>
                <w:rFonts w:ascii="Calibri" w:hAnsi="Calibri"/>
                <w:iCs/>
              </w:rPr>
              <w:t>7979 604 687</w:t>
            </w:r>
          </w:p>
        </w:tc>
      </w:tr>
    </w:tbl>
    <w:p w14:paraId="4F7091EF" w14:textId="77777777" w:rsidR="006A364A" w:rsidRDefault="006A364A" w:rsidP="00425205">
      <w:pPr>
        <w:spacing w:after="0" w:line="240" w:lineRule="auto"/>
        <w:jc w:val="both"/>
        <w:rPr>
          <w:rFonts w:ascii="Calibri" w:hAnsi="Calibri"/>
        </w:rPr>
      </w:pPr>
    </w:p>
    <w:sectPr w:rsidR="006A364A" w:rsidSect="00425205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B238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y Rawlinson">
    <w15:presenceInfo w15:providerId="AD" w15:userId="S-1-5-21-2342894719-3566363915-3822852116-11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69"/>
    <w:rsid w:val="00117169"/>
    <w:rsid w:val="00152245"/>
    <w:rsid w:val="002418D8"/>
    <w:rsid w:val="00243310"/>
    <w:rsid w:val="00384507"/>
    <w:rsid w:val="003D76B8"/>
    <w:rsid w:val="00425205"/>
    <w:rsid w:val="00461B3B"/>
    <w:rsid w:val="004A7C75"/>
    <w:rsid w:val="00631754"/>
    <w:rsid w:val="006A364A"/>
    <w:rsid w:val="007932B4"/>
    <w:rsid w:val="00F51703"/>
    <w:rsid w:val="00F5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2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716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53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716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53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F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Matt.Wood</dc:creator>
  <cp:lastModifiedBy>Matt.Wood</cp:lastModifiedBy>
  <cp:revision>2</cp:revision>
  <cp:lastPrinted>2015-03-18T16:08:00Z</cp:lastPrinted>
  <dcterms:created xsi:type="dcterms:W3CDTF">2015-03-18T16:46:00Z</dcterms:created>
  <dcterms:modified xsi:type="dcterms:W3CDTF">2015-03-18T16:46:00Z</dcterms:modified>
</cp:coreProperties>
</file>